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2EB" w:rsidRPr="003965CE" w:rsidRDefault="003965CE" w:rsidP="003965CE">
      <w:pPr>
        <w:jc w:val="center"/>
        <w:rPr>
          <w:rFonts w:ascii="Arial" w:hAnsi="Arial" w:cs="Arial"/>
          <w:b/>
          <w:sz w:val="20"/>
          <w:szCs w:val="20"/>
        </w:rPr>
      </w:pPr>
      <w:r w:rsidRPr="003965CE">
        <w:rPr>
          <w:rFonts w:ascii="Arial" w:hAnsi="Arial" w:cs="Arial"/>
          <w:b/>
          <w:sz w:val="20"/>
          <w:szCs w:val="20"/>
        </w:rPr>
        <w:t xml:space="preserve">ANNEXURE – </w:t>
      </w:r>
      <w:r w:rsidR="00BE1232">
        <w:rPr>
          <w:rFonts w:ascii="Arial" w:hAnsi="Arial" w:cs="Arial"/>
          <w:b/>
          <w:sz w:val="20"/>
          <w:szCs w:val="20"/>
        </w:rPr>
        <w:t>5</w:t>
      </w:r>
    </w:p>
    <w:p w:rsidR="003965CE" w:rsidRDefault="003965CE" w:rsidP="003965CE">
      <w:pPr>
        <w:jc w:val="center"/>
        <w:rPr>
          <w:rFonts w:ascii="Arial" w:hAnsi="Arial" w:cs="Arial"/>
          <w:b/>
          <w:sz w:val="20"/>
          <w:szCs w:val="20"/>
        </w:rPr>
      </w:pPr>
      <w:r w:rsidRPr="003965CE">
        <w:rPr>
          <w:rFonts w:ascii="Arial" w:hAnsi="Arial" w:cs="Arial"/>
          <w:b/>
          <w:sz w:val="20"/>
          <w:szCs w:val="20"/>
        </w:rPr>
        <w:t>INFRSTRUCTURE INVESTMENTS FOR CMA</w:t>
      </w:r>
    </w:p>
    <w:p w:rsidR="003965CE" w:rsidRPr="003965CE" w:rsidRDefault="003965CE" w:rsidP="003965CE">
      <w:pPr>
        <w:jc w:val="center"/>
        <w:rPr>
          <w:rFonts w:ascii="Arial" w:hAnsi="Arial" w:cs="Arial"/>
          <w:b/>
          <w:sz w:val="20"/>
          <w:szCs w:val="20"/>
        </w:rPr>
      </w:pPr>
    </w:p>
    <w:p w:rsidR="00150D3C" w:rsidRPr="00963526" w:rsidRDefault="00150D3C" w:rsidP="001E17C3">
      <w:pPr>
        <w:pStyle w:val="ListParagraph"/>
        <w:numPr>
          <w:ilvl w:val="0"/>
          <w:numId w:val="2"/>
        </w:numPr>
        <w:spacing w:line="360" w:lineRule="auto"/>
        <w:rPr>
          <w:rFonts w:ascii="Arial" w:hAnsi="Arial" w:cs="Arial"/>
          <w:b/>
          <w:bCs/>
          <w:sz w:val="20"/>
          <w:szCs w:val="20"/>
        </w:rPr>
      </w:pPr>
      <w:r w:rsidRPr="00963526">
        <w:rPr>
          <w:rFonts w:ascii="Arial" w:hAnsi="Arial" w:cs="Arial"/>
          <w:b/>
          <w:bCs/>
          <w:sz w:val="20"/>
          <w:szCs w:val="20"/>
        </w:rPr>
        <w:t>Chennai Metropolitan Development Plan (CMDP)</w:t>
      </w:r>
    </w:p>
    <w:p w:rsidR="00150D3C" w:rsidRPr="00963526" w:rsidRDefault="00150D3C" w:rsidP="00150D3C">
      <w:pPr>
        <w:spacing w:line="360" w:lineRule="auto"/>
        <w:rPr>
          <w:rFonts w:ascii="Arial" w:hAnsi="Arial" w:cs="Arial"/>
          <w:sz w:val="20"/>
          <w:szCs w:val="20"/>
        </w:rPr>
      </w:pPr>
      <w:r w:rsidRPr="00963526">
        <w:rPr>
          <w:rFonts w:ascii="Arial" w:hAnsi="Arial" w:cs="Arial"/>
          <w:sz w:val="20"/>
          <w:szCs w:val="20"/>
        </w:rPr>
        <w:t xml:space="preserve">The major objectives of the Plan are: </w:t>
      </w:r>
    </w:p>
    <w:p w:rsidR="00150D3C" w:rsidRPr="00963526" w:rsidRDefault="00150D3C" w:rsidP="00150D3C">
      <w:pPr>
        <w:pStyle w:val="ListParagraph"/>
        <w:numPr>
          <w:ilvl w:val="0"/>
          <w:numId w:val="1"/>
        </w:numPr>
        <w:spacing w:line="360" w:lineRule="auto"/>
        <w:rPr>
          <w:rFonts w:ascii="Arial" w:hAnsi="Arial" w:cs="Arial"/>
          <w:sz w:val="20"/>
          <w:szCs w:val="20"/>
        </w:rPr>
      </w:pPr>
      <w:r w:rsidRPr="00963526">
        <w:rPr>
          <w:rFonts w:ascii="Arial" w:hAnsi="Arial" w:cs="Arial"/>
          <w:sz w:val="20"/>
          <w:szCs w:val="20"/>
        </w:rPr>
        <w:t xml:space="preserve">to identify the infrastructure needs in each sector and work out the projects accordingly; </w:t>
      </w:r>
    </w:p>
    <w:p w:rsidR="00150D3C" w:rsidRPr="00963526" w:rsidRDefault="00150D3C" w:rsidP="00150D3C">
      <w:pPr>
        <w:pStyle w:val="ListParagraph"/>
        <w:numPr>
          <w:ilvl w:val="0"/>
          <w:numId w:val="1"/>
        </w:numPr>
        <w:spacing w:line="360" w:lineRule="auto"/>
        <w:rPr>
          <w:rFonts w:ascii="Arial" w:hAnsi="Arial" w:cs="Arial"/>
          <w:sz w:val="20"/>
          <w:szCs w:val="20"/>
        </w:rPr>
      </w:pPr>
      <w:r w:rsidRPr="00963526">
        <w:rPr>
          <w:rFonts w:ascii="Arial" w:hAnsi="Arial" w:cs="Arial"/>
          <w:sz w:val="20"/>
          <w:szCs w:val="20"/>
        </w:rPr>
        <w:t xml:space="preserve">to identify the quantum of finance for execution of these projects; </w:t>
      </w:r>
    </w:p>
    <w:p w:rsidR="00150D3C" w:rsidRPr="00963526" w:rsidRDefault="00150D3C" w:rsidP="00150D3C">
      <w:pPr>
        <w:pStyle w:val="ListParagraph"/>
        <w:numPr>
          <w:ilvl w:val="0"/>
          <w:numId w:val="1"/>
        </w:numPr>
        <w:spacing w:line="360" w:lineRule="auto"/>
        <w:rPr>
          <w:rFonts w:ascii="Arial" w:hAnsi="Arial" w:cs="Arial"/>
          <w:sz w:val="20"/>
          <w:szCs w:val="20"/>
        </w:rPr>
      </w:pPr>
      <w:r w:rsidRPr="00963526">
        <w:rPr>
          <w:rFonts w:ascii="Arial" w:hAnsi="Arial" w:cs="Arial"/>
          <w:sz w:val="20"/>
          <w:szCs w:val="20"/>
        </w:rPr>
        <w:t xml:space="preserve">to identify the source of finance; </w:t>
      </w:r>
    </w:p>
    <w:p w:rsidR="00150D3C" w:rsidRPr="00963526" w:rsidRDefault="00150D3C" w:rsidP="00150D3C">
      <w:pPr>
        <w:pStyle w:val="ListParagraph"/>
        <w:numPr>
          <w:ilvl w:val="0"/>
          <w:numId w:val="1"/>
        </w:numPr>
        <w:spacing w:line="360" w:lineRule="auto"/>
        <w:rPr>
          <w:rFonts w:ascii="Arial" w:hAnsi="Arial" w:cs="Arial"/>
          <w:sz w:val="20"/>
          <w:szCs w:val="20"/>
        </w:rPr>
      </w:pPr>
      <w:r w:rsidRPr="00963526">
        <w:rPr>
          <w:rFonts w:ascii="Arial" w:hAnsi="Arial" w:cs="Arial"/>
          <w:sz w:val="20"/>
          <w:szCs w:val="20"/>
        </w:rPr>
        <w:t>to prioritize the projects by working out the annual programme, medium term programmes and long term programmes;</w:t>
      </w:r>
    </w:p>
    <w:p w:rsidR="00150D3C" w:rsidRPr="00963526" w:rsidRDefault="00150D3C" w:rsidP="00150D3C">
      <w:pPr>
        <w:spacing w:line="360" w:lineRule="auto"/>
        <w:jc w:val="both"/>
        <w:rPr>
          <w:rFonts w:ascii="Arial" w:hAnsi="Arial" w:cs="Arial"/>
          <w:sz w:val="20"/>
          <w:szCs w:val="20"/>
        </w:rPr>
      </w:pPr>
      <w:r w:rsidRPr="00963526">
        <w:rPr>
          <w:rFonts w:ascii="Arial" w:hAnsi="Arial" w:cs="Arial"/>
          <w:sz w:val="20"/>
          <w:szCs w:val="20"/>
        </w:rPr>
        <w:t>The Investment Program has been categorized into 3 categories viz. annual, medium and long-term projects. The projects that need immediate investment have been included in the annual program. The projects which have to be executed to fulfill the infrastructure requirements in the medium term have been included in the medium term programmes. Projects which require heavy investments with long gestation periods have been included in the long term programmes.</w:t>
      </w:r>
    </w:p>
    <w:p w:rsidR="00150D3C" w:rsidRPr="00963526" w:rsidRDefault="00150D3C" w:rsidP="001E17C3">
      <w:pPr>
        <w:spacing w:line="360" w:lineRule="auto"/>
        <w:jc w:val="center"/>
        <w:rPr>
          <w:rFonts w:ascii="Arial" w:hAnsi="Arial" w:cs="Arial"/>
          <w:sz w:val="20"/>
          <w:szCs w:val="20"/>
        </w:rPr>
      </w:pPr>
      <w:r w:rsidRPr="00963526">
        <w:rPr>
          <w:rFonts w:ascii="Arial" w:hAnsi="Arial" w:cs="Arial"/>
          <w:noProof/>
          <w:sz w:val="20"/>
          <w:szCs w:val="20"/>
        </w:rPr>
        <w:drawing>
          <wp:inline distT="0" distB="0" distL="0" distR="0">
            <wp:extent cx="4298950" cy="3333750"/>
            <wp:effectExtent l="1905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grayscl/>
                    </a:blip>
                    <a:srcRect b="49773"/>
                    <a:stretch>
                      <a:fillRect/>
                    </a:stretch>
                  </pic:blipFill>
                  <pic:spPr bwMode="auto">
                    <a:xfrm>
                      <a:off x="0" y="0"/>
                      <a:ext cx="4298950" cy="3333750"/>
                    </a:xfrm>
                    <a:prstGeom prst="rect">
                      <a:avLst/>
                    </a:prstGeom>
                    <a:noFill/>
                    <a:ln w="9525">
                      <a:noFill/>
                      <a:miter lim="800000"/>
                      <a:headEnd/>
                      <a:tailEnd/>
                    </a:ln>
                  </pic:spPr>
                </pic:pic>
              </a:graphicData>
            </a:graphic>
          </wp:inline>
        </w:drawing>
      </w:r>
    </w:p>
    <w:p w:rsidR="00150D3C" w:rsidRPr="00963526" w:rsidRDefault="00150D3C" w:rsidP="001E17C3">
      <w:pPr>
        <w:jc w:val="center"/>
        <w:rPr>
          <w:rFonts w:ascii="Arial" w:hAnsi="Arial" w:cs="Arial"/>
          <w:sz w:val="20"/>
          <w:szCs w:val="20"/>
        </w:rPr>
      </w:pPr>
      <w:r w:rsidRPr="00963526">
        <w:rPr>
          <w:rFonts w:ascii="Arial" w:hAnsi="Arial" w:cs="Arial"/>
          <w:noProof/>
          <w:sz w:val="20"/>
          <w:szCs w:val="20"/>
        </w:rPr>
        <w:lastRenderedPageBreak/>
        <w:drawing>
          <wp:inline distT="0" distB="0" distL="0" distR="0">
            <wp:extent cx="4298950" cy="3343275"/>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grayscl/>
                    </a:blip>
                    <a:srcRect t="49641"/>
                    <a:stretch>
                      <a:fillRect/>
                    </a:stretch>
                  </pic:blipFill>
                  <pic:spPr bwMode="auto">
                    <a:xfrm>
                      <a:off x="0" y="0"/>
                      <a:ext cx="4298950" cy="3343275"/>
                    </a:xfrm>
                    <a:prstGeom prst="rect">
                      <a:avLst/>
                    </a:prstGeom>
                    <a:noFill/>
                    <a:ln w="9525">
                      <a:noFill/>
                      <a:miter lim="800000"/>
                      <a:headEnd/>
                      <a:tailEnd/>
                    </a:ln>
                  </pic:spPr>
                </pic:pic>
              </a:graphicData>
            </a:graphic>
          </wp:inline>
        </w:drawing>
      </w:r>
      <w:r w:rsidRPr="00963526">
        <w:rPr>
          <w:rFonts w:ascii="Arial" w:hAnsi="Arial" w:cs="Arial"/>
          <w:noProof/>
          <w:sz w:val="20"/>
          <w:szCs w:val="20"/>
        </w:rPr>
        <w:drawing>
          <wp:inline distT="0" distB="0" distL="0" distR="0">
            <wp:extent cx="4362450" cy="34004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grayscl/>
                    </a:blip>
                    <a:srcRect r="-983"/>
                    <a:stretch>
                      <a:fillRect/>
                    </a:stretch>
                  </pic:blipFill>
                  <pic:spPr bwMode="auto">
                    <a:xfrm>
                      <a:off x="0" y="0"/>
                      <a:ext cx="4370389" cy="3406613"/>
                    </a:xfrm>
                    <a:prstGeom prst="rect">
                      <a:avLst/>
                    </a:prstGeom>
                    <a:noFill/>
                    <a:ln w="9525">
                      <a:noFill/>
                      <a:miter lim="800000"/>
                      <a:headEnd/>
                      <a:tailEnd/>
                    </a:ln>
                  </pic:spPr>
                </pic:pic>
              </a:graphicData>
            </a:graphic>
          </wp:inline>
        </w:drawing>
      </w:r>
    </w:p>
    <w:p w:rsidR="001E17C3" w:rsidRPr="00963526" w:rsidRDefault="001E17C3" w:rsidP="001E17C3">
      <w:pPr>
        <w:pStyle w:val="ListParagraph"/>
        <w:numPr>
          <w:ilvl w:val="0"/>
          <w:numId w:val="2"/>
        </w:numPr>
        <w:spacing w:line="360" w:lineRule="auto"/>
        <w:rPr>
          <w:rFonts w:ascii="Arial" w:hAnsi="Arial" w:cs="Arial"/>
          <w:b/>
          <w:bCs/>
          <w:sz w:val="20"/>
          <w:szCs w:val="20"/>
        </w:rPr>
      </w:pPr>
      <w:r w:rsidRPr="00963526">
        <w:rPr>
          <w:rFonts w:ascii="Arial" w:hAnsi="Arial" w:cs="Arial"/>
          <w:b/>
          <w:bCs/>
          <w:sz w:val="20"/>
          <w:szCs w:val="20"/>
        </w:rPr>
        <w:t xml:space="preserve"> Jawaharlal Nehru Urban Renewal Mission (JN-NURM) </w:t>
      </w:r>
    </w:p>
    <w:p w:rsidR="001E17C3" w:rsidRPr="00963526" w:rsidRDefault="001E17C3" w:rsidP="001E17C3">
      <w:pPr>
        <w:spacing w:line="360" w:lineRule="auto"/>
        <w:jc w:val="both"/>
        <w:rPr>
          <w:rFonts w:ascii="Arial" w:hAnsi="Arial" w:cs="Arial"/>
          <w:sz w:val="20"/>
          <w:szCs w:val="20"/>
        </w:rPr>
      </w:pPr>
      <w:r w:rsidRPr="00963526">
        <w:rPr>
          <w:rFonts w:ascii="Arial" w:hAnsi="Arial" w:cs="Arial"/>
          <w:sz w:val="20"/>
          <w:szCs w:val="20"/>
        </w:rPr>
        <w:t xml:space="preserve">The Government of India in 2005 has introduced the scheme called Jawaharlal Nehru Urban Renewal Mission (JN-NURM) to encourage reforms driven, fast tract planned development of identified cities with a focus on efficiency in urban infrastructure / service delivery mechanisms, community participation and accountability of urban local bodies towards citizens. </w:t>
      </w:r>
    </w:p>
    <w:p w:rsidR="001E17C3" w:rsidRPr="00963526" w:rsidRDefault="001E17C3" w:rsidP="001E17C3">
      <w:pPr>
        <w:spacing w:line="360" w:lineRule="auto"/>
        <w:jc w:val="both"/>
        <w:rPr>
          <w:rFonts w:ascii="Arial" w:hAnsi="Arial" w:cs="Arial"/>
          <w:sz w:val="20"/>
          <w:szCs w:val="20"/>
        </w:rPr>
      </w:pPr>
      <w:r w:rsidRPr="00963526">
        <w:rPr>
          <w:rFonts w:ascii="Arial" w:hAnsi="Arial" w:cs="Arial"/>
          <w:sz w:val="20"/>
          <w:szCs w:val="20"/>
        </w:rPr>
        <w:lastRenderedPageBreak/>
        <w:t xml:space="preserve">The Mission objectives are to ensure the following in the urban sector including the basic services to urban poor: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Integrated development of infrastructure services in cities covered under the Mission.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Establish linkages between asset creations and asset management for long term project sustainability.</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Ensure adequate funds to fulfill deficiencies in the urban infrastructural services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Planned development of identified cities including peri urban areas, out growths and urban corridors leading to dispersed urbanisation.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Scale up delivery of civic amenities and provision of utilities with emphasis on universal access to urban poor.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Special focus on urban renewal program for the old city areas to reduce congestion.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Provision of basic services to urban poor including security of tenure at affordable prices, improved housing, water supply and sanitation and ensuring delivery of other already existing universal services of the Government for education, health and social security. </w:t>
      </w:r>
    </w:p>
    <w:p w:rsidR="001E17C3" w:rsidRPr="00963526" w:rsidRDefault="001E17C3" w:rsidP="001E17C3">
      <w:pPr>
        <w:spacing w:line="360" w:lineRule="auto"/>
        <w:jc w:val="both"/>
        <w:rPr>
          <w:rFonts w:ascii="Arial" w:hAnsi="Arial" w:cs="Arial"/>
          <w:sz w:val="20"/>
          <w:szCs w:val="20"/>
        </w:rPr>
      </w:pPr>
      <w:r w:rsidRPr="00963526">
        <w:rPr>
          <w:rFonts w:ascii="Arial" w:hAnsi="Arial" w:cs="Arial"/>
          <w:sz w:val="20"/>
          <w:szCs w:val="20"/>
        </w:rPr>
        <w:t>The Mission strategy includes preparing perspective plan called as City Development Plan (CDP), preparing projects, leveraging of funds and incorporating private sector efficiencies. The duration of the Mission is 7 years beginning from the year 2005-06. The nodal agency for the State of Tamilnadu is TUFIDCO and the concerned department at Government of Tamilnadu is Municipal Administration and Water Supply. Chennai is one of the identified cities for Government of India assistance under JN-NURM. To comply with the prerequisite of preparation of CDP, the City development plan for Chennai as called as ‘Development Plan for Chennai Metropolitan Area’ was prepared and Government of India’s approval obtained.</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Capital investment plan for the various sector proposed under JN-NURM are given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t xml:space="preserve">Water Supply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The proposed investments for water supply projects for CMA is of the order of Rs. 6,321.00 Crores and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lastRenderedPageBreak/>
        <w:drawing>
          <wp:inline distT="0" distB="0" distL="0" distR="0">
            <wp:extent cx="4143375" cy="4105275"/>
            <wp:effectExtent l="19050" t="19050" r="28575" b="2857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grayscl/>
                    </a:blip>
                    <a:srcRect r="1457"/>
                    <a:stretch>
                      <a:fillRect/>
                    </a:stretch>
                  </pic:blipFill>
                  <pic:spPr bwMode="auto">
                    <a:xfrm>
                      <a:off x="0" y="0"/>
                      <a:ext cx="4144966" cy="4106851"/>
                    </a:xfrm>
                    <a:prstGeom prst="rect">
                      <a:avLst/>
                    </a:prstGeom>
                    <a:noFill/>
                    <a:ln w="9525">
                      <a:solidFill>
                        <a:schemeClr val="tx1"/>
                      </a:solidFill>
                      <a:miter lim="800000"/>
                      <a:headEnd/>
                      <a:tailEnd/>
                    </a:ln>
                  </pic:spPr>
                </pic:pic>
              </a:graphicData>
            </a:graphic>
          </wp:inline>
        </w:drawing>
      </w: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t xml:space="preserve">Sewerage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The proposed investments for sewerage projects for entire CMA is of the order of Rs. 2,299.00 Crores and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295775" cy="1590675"/>
            <wp:effectExtent l="1905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grayscl/>
                    </a:blip>
                    <a:srcRect/>
                    <a:stretch>
                      <a:fillRect/>
                    </a:stretch>
                  </pic:blipFill>
                  <pic:spPr bwMode="auto">
                    <a:xfrm>
                      <a:off x="0" y="0"/>
                      <a:ext cx="4295775" cy="1590675"/>
                    </a:xfrm>
                    <a:prstGeom prst="rect">
                      <a:avLst/>
                    </a:prstGeom>
                    <a:noFill/>
                    <a:ln w="9525">
                      <a:noFill/>
                      <a:miter lim="800000"/>
                      <a:headEnd/>
                      <a:tailEnd/>
                    </a:ln>
                  </pic:spPr>
                </pic:pic>
              </a:graphicData>
            </a:graphic>
          </wp:inline>
        </w:drawing>
      </w:r>
      <w:r w:rsidRPr="00963526">
        <w:rPr>
          <w:rFonts w:ascii="Arial" w:hAnsi="Arial" w:cs="Arial"/>
          <w:noProof/>
          <w:sz w:val="20"/>
          <w:szCs w:val="20"/>
        </w:rPr>
        <w:drawing>
          <wp:inline distT="0" distB="0" distL="0" distR="0">
            <wp:extent cx="4295775" cy="1114425"/>
            <wp:effectExtent l="19050" t="0" r="952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grayscl/>
                    </a:blip>
                    <a:srcRect/>
                    <a:stretch>
                      <a:fillRect/>
                    </a:stretch>
                  </pic:blipFill>
                  <pic:spPr bwMode="auto">
                    <a:xfrm>
                      <a:off x="0" y="0"/>
                      <a:ext cx="4295775" cy="1114425"/>
                    </a:xfrm>
                    <a:prstGeom prst="rect">
                      <a:avLst/>
                    </a:prstGeom>
                    <a:noFill/>
                    <a:ln w="9525">
                      <a:noFill/>
                      <a:miter lim="800000"/>
                      <a:headEnd/>
                      <a:tailEnd/>
                    </a:ln>
                  </pic:spPr>
                </pic:pic>
              </a:graphicData>
            </a:graphic>
          </wp:inline>
        </w:drawing>
      </w:r>
    </w:p>
    <w:p w:rsidR="00963526" w:rsidRDefault="00963526" w:rsidP="001E17C3">
      <w:pPr>
        <w:spacing w:line="360" w:lineRule="auto"/>
        <w:jc w:val="both"/>
        <w:rPr>
          <w:rFonts w:ascii="Arial" w:hAnsi="Arial" w:cs="Arial"/>
          <w:b/>
          <w:bCs/>
          <w:sz w:val="20"/>
          <w:szCs w:val="20"/>
        </w:rPr>
      </w:pP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lastRenderedPageBreak/>
        <w:t xml:space="preserve">Storm Water Drainage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 xml:space="preserve"> The proposed investments for storm water drainage, macro drainage for CMA and renovation of lakes is estimated Rs. 1,423.85 Crores and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257675" cy="2400300"/>
            <wp:effectExtent l="19050" t="0" r="952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grayscl/>
                    </a:blip>
                    <a:srcRect/>
                    <a:stretch>
                      <a:fillRect/>
                    </a:stretch>
                  </pic:blipFill>
                  <pic:spPr bwMode="auto">
                    <a:xfrm>
                      <a:off x="0" y="0"/>
                      <a:ext cx="4257675" cy="2400300"/>
                    </a:xfrm>
                    <a:prstGeom prst="rect">
                      <a:avLst/>
                    </a:prstGeom>
                    <a:noFill/>
                    <a:ln w="9525">
                      <a:noFill/>
                      <a:miter lim="800000"/>
                      <a:headEnd/>
                      <a:tailEnd/>
                    </a:ln>
                  </pic:spPr>
                </pic:pic>
              </a:graphicData>
            </a:graphic>
          </wp:inline>
        </w:drawing>
      </w: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t xml:space="preserve">Solid Waste Management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The proposed investments towards solid waste management sector for CMA is of the order of Rs. 847.81 Crores.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295775" cy="1400175"/>
            <wp:effectExtent l="19050" t="0" r="952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grayscl/>
                    </a:blip>
                    <a:srcRect/>
                    <a:stretch>
                      <a:fillRect/>
                    </a:stretch>
                  </pic:blipFill>
                  <pic:spPr bwMode="auto">
                    <a:xfrm>
                      <a:off x="0" y="0"/>
                      <a:ext cx="4295775" cy="1400175"/>
                    </a:xfrm>
                    <a:prstGeom prst="rect">
                      <a:avLst/>
                    </a:prstGeom>
                    <a:noFill/>
                    <a:ln w="9525">
                      <a:noFill/>
                      <a:miter lim="800000"/>
                      <a:headEnd/>
                      <a:tailEnd/>
                    </a:ln>
                  </pic:spPr>
                </pic:pic>
              </a:graphicData>
            </a:graphic>
          </wp:inline>
        </w:drawing>
      </w: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t xml:space="preserve">Traffic and Transportation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The proposed investments for traffic and transportation for CMA is of the order of Rs. 24,854.08 Crores.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lastRenderedPageBreak/>
        <w:drawing>
          <wp:inline distT="0" distB="0" distL="0" distR="0">
            <wp:extent cx="4257675" cy="4238625"/>
            <wp:effectExtent l="19050" t="0" r="952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grayscl/>
                    </a:blip>
                    <a:srcRect/>
                    <a:stretch>
                      <a:fillRect/>
                    </a:stretch>
                  </pic:blipFill>
                  <pic:spPr bwMode="auto">
                    <a:xfrm>
                      <a:off x="0" y="0"/>
                      <a:ext cx="4257675" cy="4238625"/>
                    </a:xfrm>
                    <a:prstGeom prst="rect">
                      <a:avLst/>
                    </a:prstGeom>
                    <a:noFill/>
                    <a:ln w="9525">
                      <a:noFill/>
                      <a:miter lim="800000"/>
                      <a:headEnd/>
                      <a:tailEnd/>
                    </a:ln>
                  </pic:spPr>
                </pic:pic>
              </a:graphicData>
            </a:graphic>
          </wp:inline>
        </w:drawing>
      </w:r>
    </w:p>
    <w:p w:rsidR="00963526" w:rsidRPr="00963526" w:rsidRDefault="00963526" w:rsidP="001E17C3">
      <w:pPr>
        <w:spacing w:line="360" w:lineRule="auto"/>
        <w:jc w:val="both"/>
        <w:rPr>
          <w:rFonts w:ascii="Arial" w:hAnsi="Arial" w:cs="Arial"/>
          <w:sz w:val="20"/>
          <w:szCs w:val="20"/>
        </w:rPr>
      </w:pPr>
      <w:r w:rsidRPr="00963526">
        <w:rPr>
          <w:rFonts w:ascii="Arial" w:hAnsi="Arial" w:cs="Arial"/>
          <w:b/>
          <w:bCs/>
          <w:sz w:val="20"/>
          <w:szCs w:val="20"/>
        </w:rPr>
        <w:t xml:space="preserve">Heritage and Recreation </w:t>
      </w:r>
    </w:p>
    <w:p w:rsidR="000A6855" w:rsidRPr="00963526" w:rsidRDefault="00963526" w:rsidP="001E17C3">
      <w:pPr>
        <w:spacing w:line="360" w:lineRule="auto"/>
        <w:jc w:val="both"/>
        <w:rPr>
          <w:rFonts w:ascii="Arial" w:hAnsi="Arial" w:cs="Arial"/>
          <w:sz w:val="20"/>
          <w:szCs w:val="20"/>
        </w:rPr>
      </w:pPr>
      <w:r w:rsidRPr="00963526">
        <w:rPr>
          <w:rFonts w:ascii="Arial" w:hAnsi="Arial" w:cs="Arial"/>
          <w:sz w:val="20"/>
          <w:szCs w:val="20"/>
        </w:rPr>
        <w:t>The proposed investment towards Heritage and recreation projects is estimated Rs. 103.08 Crores and the break up is presented in Table below</w:t>
      </w:r>
    </w:p>
    <w:p w:rsidR="00963526" w:rsidRPr="00963526" w:rsidRDefault="00963526"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257675" cy="1381125"/>
            <wp:effectExtent l="19050" t="0" r="9525"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grayscl/>
                    </a:blip>
                    <a:srcRect/>
                    <a:stretch>
                      <a:fillRect/>
                    </a:stretch>
                  </pic:blipFill>
                  <pic:spPr bwMode="auto">
                    <a:xfrm>
                      <a:off x="0" y="0"/>
                      <a:ext cx="4257675" cy="1381125"/>
                    </a:xfrm>
                    <a:prstGeom prst="rect">
                      <a:avLst/>
                    </a:prstGeom>
                    <a:noFill/>
                    <a:ln w="9525">
                      <a:noFill/>
                      <a:miter lim="800000"/>
                      <a:headEnd/>
                      <a:tailEnd/>
                    </a:ln>
                  </pic:spPr>
                </pic:pic>
              </a:graphicData>
            </a:graphic>
          </wp:inline>
        </w:drawing>
      </w:r>
    </w:p>
    <w:p w:rsidR="00963526" w:rsidRPr="00963526" w:rsidRDefault="00963526" w:rsidP="001E17C3">
      <w:pPr>
        <w:spacing w:line="360" w:lineRule="auto"/>
        <w:jc w:val="both"/>
        <w:rPr>
          <w:rFonts w:ascii="Arial" w:hAnsi="Arial" w:cs="Arial"/>
          <w:sz w:val="20"/>
          <w:szCs w:val="20"/>
        </w:rPr>
      </w:pPr>
      <w:r w:rsidRPr="00963526">
        <w:rPr>
          <w:rFonts w:ascii="Arial" w:hAnsi="Arial" w:cs="Arial"/>
          <w:b/>
          <w:bCs/>
          <w:sz w:val="20"/>
          <w:szCs w:val="20"/>
        </w:rPr>
        <w:t xml:space="preserve">Urban Basic Services for Poor </w:t>
      </w:r>
    </w:p>
    <w:p w:rsidR="00963526" w:rsidRPr="00963526" w:rsidRDefault="00963526" w:rsidP="001E17C3">
      <w:pPr>
        <w:spacing w:line="360" w:lineRule="auto"/>
        <w:jc w:val="both"/>
        <w:rPr>
          <w:rFonts w:ascii="Arial" w:hAnsi="Arial" w:cs="Arial"/>
          <w:sz w:val="20"/>
          <w:szCs w:val="20"/>
        </w:rPr>
      </w:pPr>
      <w:r w:rsidRPr="00963526">
        <w:rPr>
          <w:rFonts w:ascii="Arial" w:hAnsi="Arial" w:cs="Arial"/>
          <w:sz w:val="20"/>
          <w:szCs w:val="20"/>
        </w:rPr>
        <w:t>The proposed investments for urban poor population for entire CMA are estimated Rs. 3,887.23 crore for the next seven years and break up is illustrated in Table below.</w:t>
      </w:r>
    </w:p>
    <w:p w:rsidR="00963526" w:rsidRPr="00963526" w:rsidRDefault="00963526" w:rsidP="001E17C3">
      <w:pPr>
        <w:spacing w:line="360" w:lineRule="auto"/>
        <w:jc w:val="both"/>
        <w:rPr>
          <w:rFonts w:ascii="Arial" w:hAnsi="Arial" w:cs="Arial"/>
          <w:sz w:val="20"/>
          <w:szCs w:val="20"/>
        </w:rPr>
      </w:pPr>
      <w:r w:rsidRPr="00963526">
        <w:rPr>
          <w:rFonts w:ascii="Arial" w:hAnsi="Arial" w:cs="Arial"/>
          <w:noProof/>
          <w:sz w:val="20"/>
          <w:szCs w:val="20"/>
        </w:rPr>
        <w:lastRenderedPageBreak/>
        <w:drawing>
          <wp:inline distT="0" distB="0" distL="0" distR="0">
            <wp:extent cx="4295775" cy="1038225"/>
            <wp:effectExtent l="19050" t="0" r="9525"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grayscl/>
                    </a:blip>
                    <a:srcRect/>
                    <a:stretch>
                      <a:fillRect/>
                    </a:stretch>
                  </pic:blipFill>
                  <pic:spPr bwMode="auto">
                    <a:xfrm>
                      <a:off x="0" y="0"/>
                      <a:ext cx="4295775" cy="1038225"/>
                    </a:xfrm>
                    <a:prstGeom prst="rect">
                      <a:avLst/>
                    </a:prstGeom>
                    <a:noFill/>
                    <a:ln w="9525">
                      <a:noFill/>
                      <a:miter lim="800000"/>
                      <a:headEnd/>
                      <a:tailEnd/>
                    </a:ln>
                  </pic:spPr>
                </pic:pic>
              </a:graphicData>
            </a:graphic>
          </wp:inline>
        </w:drawing>
      </w:r>
    </w:p>
    <w:p w:rsidR="00963526" w:rsidRPr="00963526" w:rsidRDefault="00963526" w:rsidP="001E17C3">
      <w:pPr>
        <w:spacing w:line="360" w:lineRule="auto"/>
        <w:jc w:val="both"/>
        <w:rPr>
          <w:rFonts w:ascii="Arial" w:hAnsi="Arial" w:cs="Arial"/>
          <w:sz w:val="20"/>
          <w:szCs w:val="20"/>
        </w:rPr>
      </w:pPr>
      <w:r w:rsidRPr="00963526">
        <w:rPr>
          <w:rFonts w:ascii="Arial" w:hAnsi="Arial" w:cs="Arial"/>
          <w:b/>
          <w:bCs/>
          <w:sz w:val="20"/>
          <w:szCs w:val="20"/>
        </w:rPr>
        <w:t xml:space="preserve">Parking Lots and Spaces </w:t>
      </w:r>
    </w:p>
    <w:p w:rsidR="00963526" w:rsidRPr="00963526" w:rsidRDefault="00963526" w:rsidP="001E17C3">
      <w:pPr>
        <w:spacing w:line="360" w:lineRule="auto"/>
        <w:jc w:val="both"/>
        <w:rPr>
          <w:rFonts w:ascii="Arial" w:hAnsi="Arial" w:cs="Arial"/>
          <w:sz w:val="20"/>
          <w:szCs w:val="20"/>
        </w:rPr>
      </w:pPr>
      <w:r w:rsidRPr="00963526">
        <w:rPr>
          <w:rFonts w:ascii="Arial" w:hAnsi="Arial" w:cs="Arial"/>
          <w:sz w:val="20"/>
          <w:szCs w:val="20"/>
        </w:rPr>
        <w:t>The proposed investment for civic amenities in CMA is estimated Rs. 43.85 Crores and the break up is presented in Table below.</w:t>
      </w:r>
    </w:p>
    <w:p w:rsidR="00963526" w:rsidRPr="00963526" w:rsidRDefault="00963526"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295775" cy="933450"/>
            <wp:effectExtent l="19050" t="0" r="9525"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grayscl/>
                    </a:blip>
                    <a:srcRect/>
                    <a:stretch>
                      <a:fillRect/>
                    </a:stretch>
                  </pic:blipFill>
                  <pic:spPr bwMode="auto">
                    <a:xfrm>
                      <a:off x="0" y="0"/>
                      <a:ext cx="4295775" cy="933450"/>
                    </a:xfrm>
                    <a:prstGeom prst="rect">
                      <a:avLst/>
                    </a:prstGeom>
                    <a:noFill/>
                    <a:ln w="9525">
                      <a:noFill/>
                      <a:miter lim="800000"/>
                      <a:headEnd/>
                      <a:tailEnd/>
                    </a:ln>
                  </pic:spPr>
                </pic:pic>
              </a:graphicData>
            </a:graphic>
          </wp:inline>
        </w:drawing>
      </w:r>
    </w:p>
    <w:p w:rsidR="00963526" w:rsidRPr="00963526" w:rsidRDefault="00963526" w:rsidP="001E17C3">
      <w:pPr>
        <w:spacing w:line="360" w:lineRule="auto"/>
        <w:jc w:val="both"/>
        <w:rPr>
          <w:rFonts w:ascii="Arial" w:hAnsi="Arial" w:cs="Arial"/>
          <w:sz w:val="20"/>
          <w:szCs w:val="20"/>
        </w:rPr>
      </w:pPr>
      <w:r w:rsidRPr="00963526">
        <w:rPr>
          <w:rFonts w:ascii="Arial" w:hAnsi="Arial" w:cs="Arial"/>
          <w:sz w:val="20"/>
          <w:szCs w:val="20"/>
        </w:rPr>
        <w:t xml:space="preserve">The total estimated cost of the projects for proposed is </w:t>
      </w:r>
      <w:r w:rsidRPr="00963526">
        <w:rPr>
          <w:rFonts w:ascii="Arial" w:hAnsi="Arial" w:cs="Arial"/>
          <w:b/>
          <w:sz w:val="20"/>
          <w:szCs w:val="20"/>
        </w:rPr>
        <w:t>Rs. 44,779.92 Crores</w:t>
      </w:r>
      <w:r w:rsidRPr="00963526">
        <w:rPr>
          <w:rFonts w:ascii="Arial" w:hAnsi="Arial" w:cs="Arial"/>
          <w:sz w:val="20"/>
          <w:szCs w:val="20"/>
        </w:rPr>
        <w:t>. The summary of investments is given in the table below.</w:t>
      </w:r>
    </w:p>
    <w:p w:rsidR="00963526" w:rsidRPr="00963526" w:rsidRDefault="00963526"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5619750" cy="3371850"/>
            <wp:effectExtent l="1905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grayscl/>
                    </a:blip>
                    <a:srcRect/>
                    <a:stretch>
                      <a:fillRect/>
                    </a:stretch>
                  </pic:blipFill>
                  <pic:spPr bwMode="auto">
                    <a:xfrm>
                      <a:off x="0" y="0"/>
                      <a:ext cx="5619750" cy="3371850"/>
                    </a:xfrm>
                    <a:prstGeom prst="rect">
                      <a:avLst/>
                    </a:prstGeom>
                    <a:noFill/>
                    <a:ln w="9525">
                      <a:noFill/>
                      <a:miter lim="800000"/>
                      <a:headEnd/>
                      <a:tailEnd/>
                    </a:ln>
                  </pic:spPr>
                </pic:pic>
              </a:graphicData>
            </a:graphic>
          </wp:inline>
        </w:drawing>
      </w:r>
    </w:p>
    <w:sectPr w:rsidR="00963526" w:rsidRPr="00963526" w:rsidSect="00343922">
      <w:footerReference w:type="default" r:id="rId19"/>
      <w:pgSz w:w="12240" w:h="15840"/>
      <w:pgMar w:top="1440" w:right="1440" w:bottom="1170" w:left="1440" w:header="720" w:footer="360" w:gutter="0"/>
      <w:pgNumType w:start="1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0B7" w:rsidRDefault="005C30B7" w:rsidP="00271599">
      <w:pPr>
        <w:spacing w:after="0" w:line="240" w:lineRule="auto"/>
      </w:pPr>
      <w:r>
        <w:separator/>
      </w:r>
    </w:p>
  </w:endnote>
  <w:endnote w:type="continuationSeparator" w:id="1">
    <w:p w:rsidR="005C30B7" w:rsidRDefault="005C30B7" w:rsidP="002715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599" w:rsidRDefault="00271599" w:rsidP="00271599">
    <w:pPr>
      <w:pStyle w:val="Footer"/>
      <w:tabs>
        <w:tab w:val="left" w:pos="7853"/>
      </w:tabs>
    </w:pPr>
    <w:r>
      <w:tab/>
    </w:r>
    <w:fldSimple w:instr=" PAGE   \* MERGEFORMAT ">
      <w:r w:rsidR="00343922">
        <w:rPr>
          <w:noProof/>
        </w:rPr>
        <w:t>18</w:t>
      </w:r>
    </w:fldSimple>
    <w:r>
      <w:tab/>
      <w:t>Perungudi</w:t>
    </w:r>
  </w:p>
  <w:p w:rsidR="00271599" w:rsidRDefault="00271599" w:rsidP="00271599">
    <w:pPr>
      <w:pStyle w:val="Footer"/>
    </w:pPr>
  </w:p>
  <w:p w:rsidR="00271599" w:rsidRDefault="002715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0B7" w:rsidRDefault="005C30B7" w:rsidP="00271599">
      <w:pPr>
        <w:spacing w:after="0" w:line="240" w:lineRule="auto"/>
      </w:pPr>
      <w:r>
        <w:separator/>
      </w:r>
    </w:p>
  </w:footnote>
  <w:footnote w:type="continuationSeparator" w:id="1">
    <w:p w:rsidR="005C30B7" w:rsidRDefault="005C30B7" w:rsidP="002715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6D7BBC"/>
    <w:multiLevelType w:val="hybridMultilevel"/>
    <w:tmpl w:val="FCBECD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7A6EE0"/>
    <w:multiLevelType w:val="hybridMultilevel"/>
    <w:tmpl w:val="9132B2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55F34FE"/>
    <w:multiLevelType w:val="hybridMultilevel"/>
    <w:tmpl w:val="A202C1D4"/>
    <w:lvl w:ilvl="0" w:tplc="E5F23C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50D3C"/>
    <w:rsid w:val="000A6855"/>
    <w:rsid w:val="000A7C4C"/>
    <w:rsid w:val="00150D3C"/>
    <w:rsid w:val="001E17C3"/>
    <w:rsid w:val="00271599"/>
    <w:rsid w:val="00343922"/>
    <w:rsid w:val="00380F1E"/>
    <w:rsid w:val="003965CE"/>
    <w:rsid w:val="005C30B7"/>
    <w:rsid w:val="0070107D"/>
    <w:rsid w:val="00963526"/>
    <w:rsid w:val="009C74E7"/>
    <w:rsid w:val="00BE1232"/>
    <w:rsid w:val="00DB75E8"/>
    <w:rsid w:val="00E339F7"/>
    <w:rsid w:val="00FC16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6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D3C"/>
    <w:pPr>
      <w:ind w:left="720"/>
      <w:contextualSpacing/>
    </w:pPr>
  </w:style>
  <w:style w:type="paragraph" w:styleId="BalloonText">
    <w:name w:val="Balloon Text"/>
    <w:basedOn w:val="Normal"/>
    <w:link w:val="BalloonTextChar"/>
    <w:uiPriority w:val="99"/>
    <w:semiHidden/>
    <w:unhideWhenUsed/>
    <w:rsid w:val="00150D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3C"/>
    <w:rPr>
      <w:rFonts w:ascii="Tahoma" w:hAnsi="Tahoma" w:cs="Tahoma"/>
      <w:sz w:val="16"/>
      <w:szCs w:val="16"/>
    </w:rPr>
  </w:style>
  <w:style w:type="paragraph" w:styleId="Header">
    <w:name w:val="header"/>
    <w:basedOn w:val="Normal"/>
    <w:link w:val="HeaderChar"/>
    <w:uiPriority w:val="99"/>
    <w:semiHidden/>
    <w:unhideWhenUsed/>
    <w:rsid w:val="0027159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71599"/>
  </w:style>
  <w:style w:type="paragraph" w:styleId="Footer">
    <w:name w:val="footer"/>
    <w:basedOn w:val="Normal"/>
    <w:link w:val="FooterChar"/>
    <w:uiPriority w:val="99"/>
    <w:unhideWhenUsed/>
    <w:rsid w:val="002715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159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Quadra Architects Pvt Ltd</Company>
  <LinksUpToDate>false</LinksUpToDate>
  <CharactersWithSpaces>4639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Quadra -24</dc:creator>
  <cp:keywords/>
  <dc:description/>
  <cp:lastModifiedBy>Quadra -24</cp:lastModifiedBy>
  <cp:revision>6</cp:revision>
  <dcterms:created xsi:type="dcterms:W3CDTF">2009-11-12T06:43:00Z</dcterms:created>
  <dcterms:modified xsi:type="dcterms:W3CDTF">2010-02-22T12:57:00Z</dcterms:modified>
</cp:coreProperties>
</file>